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2DEE" w14:textId="77777777"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 wp14:anchorId="47F2203E" wp14:editId="2ECBC5B6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14:paraId="42DAE1B9" w14:textId="77777777" w:rsidR="00112B11" w:rsidRPr="00112B11" w:rsidRDefault="00112B11" w:rsidP="0011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12B11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14:paraId="62123D03" w14:textId="2A96B490" w:rsidR="003544EE" w:rsidRPr="003544EE" w:rsidRDefault="00C36AFD" w:rsidP="003544E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системе «На Дальний Восток» </w:t>
      </w:r>
      <w:r w:rsidR="000C6DFE">
        <w:rPr>
          <w:rFonts w:ascii="Segoe UI" w:hAnsi="Segoe UI" w:cs="Segoe UI"/>
          <w:sz w:val="32"/>
          <w:szCs w:val="32"/>
        </w:rPr>
        <w:t>открыт доступ к территориям Р</w:t>
      </w:r>
      <w:r>
        <w:rPr>
          <w:rFonts w:ascii="Segoe UI" w:hAnsi="Segoe UI" w:cs="Segoe UI"/>
          <w:sz w:val="32"/>
          <w:szCs w:val="32"/>
        </w:rPr>
        <w:t>еспублик</w:t>
      </w:r>
      <w:r w:rsidR="000C6DFE">
        <w:rPr>
          <w:rFonts w:ascii="Segoe UI" w:hAnsi="Segoe UI" w:cs="Segoe UI"/>
          <w:sz w:val="32"/>
          <w:szCs w:val="32"/>
        </w:rPr>
        <w:t>и</w:t>
      </w:r>
      <w:r>
        <w:rPr>
          <w:rFonts w:ascii="Segoe UI" w:hAnsi="Segoe UI" w:cs="Segoe UI"/>
          <w:sz w:val="32"/>
          <w:szCs w:val="32"/>
        </w:rPr>
        <w:t xml:space="preserve"> </w:t>
      </w:r>
      <w:r w:rsidR="003544EE" w:rsidRPr="003544EE">
        <w:rPr>
          <w:rFonts w:ascii="Segoe UI" w:hAnsi="Segoe UI" w:cs="Segoe UI"/>
          <w:sz w:val="32"/>
          <w:szCs w:val="32"/>
        </w:rPr>
        <w:t xml:space="preserve">Бурятия и </w:t>
      </w:r>
      <w:r>
        <w:rPr>
          <w:rFonts w:ascii="Segoe UI" w:hAnsi="Segoe UI" w:cs="Segoe UI"/>
          <w:sz w:val="32"/>
          <w:szCs w:val="32"/>
        </w:rPr>
        <w:t>Забайкальско</w:t>
      </w:r>
      <w:r w:rsidR="000C6DFE">
        <w:rPr>
          <w:rFonts w:ascii="Segoe UI" w:hAnsi="Segoe UI" w:cs="Segoe UI"/>
          <w:sz w:val="32"/>
          <w:szCs w:val="32"/>
        </w:rPr>
        <w:t>го</w:t>
      </w:r>
      <w:r>
        <w:rPr>
          <w:rFonts w:ascii="Segoe UI" w:hAnsi="Segoe UI" w:cs="Segoe UI"/>
          <w:sz w:val="32"/>
          <w:szCs w:val="32"/>
        </w:rPr>
        <w:t xml:space="preserve"> кра</w:t>
      </w:r>
      <w:r w:rsidR="000C6DFE">
        <w:rPr>
          <w:rFonts w:ascii="Segoe UI" w:hAnsi="Segoe UI" w:cs="Segoe UI"/>
          <w:sz w:val="32"/>
          <w:szCs w:val="32"/>
        </w:rPr>
        <w:t>я</w:t>
      </w:r>
    </w:p>
    <w:p w14:paraId="70BB8EE1" w14:textId="06E42C56" w:rsidR="0034343A" w:rsidRDefault="00B65A48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490485">
        <w:rPr>
          <w:rFonts w:ascii="Segoe UI" w:hAnsi="Segoe UI" w:cs="Segoe UI"/>
          <w:b/>
          <w:sz w:val="24"/>
          <w:szCs w:val="24"/>
        </w:rPr>
        <w:t xml:space="preserve">Москва, </w:t>
      </w:r>
      <w:r w:rsidR="00F54203" w:rsidRPr="00F54203">
        <w:rPr>
          <w:rFonts w:ascii="Segoe UI" w:hAnsi="Segoe UI" w:cs="Segoe UI"/>
          <w:b/>
          <w:sz w:val="24"/>
          <w:szCs w:val="24"/>
        </w:rPr>
        <w:t>2</w:t>
      </w:r>
      <w:r w:rsidR="00533AC9" w:rsidRPr="00533AC9">
        <w:rPr>
          <w:rFonts w:ascii="Segoe UI" w:hAnsi="Segoe UI" w:cs="Segoe UI"/>
          <w:b/>
          <w:sz w:val="24"/>
          <w:szCs w:val="24"/>
        </w:rPr>
        <w:t>4</w:t>
      </w:r>
      <w:r w:rsidRPr="00490485">
        <w:rPr>
          <w:rFonts w:ascii="Segoe UI" w:hAnsi="Segoe UI" w:cs="Segoe UI"/>
          <w:b/>
          <w:sz w:val="24"/>
          <w:szCs w:val="24"/>
        </w:rPr>
        <w:t xml:space="preserve"> </w:t>
      </w:r>
      <w:r w:rsidR="00AF485E">
        <w:rPr>
          <w:rFonts w:ascii="Segoe UI" w:hAnsi="Segoe UI" w:cs="Segoe UI"/>
          <w:b/>
          <w:sz w:val="24"/>
          <w:szCs w:val="24"/>
        </w:rPr>
        <w:t>июл</w:t>
      </w:r>
      <w:r w:rsidR="00F049A0">
        <w:rPr>
          <w:rFonts w:ascii="Segoe UI" w:hAnsi="Segoe UI" w:cs="Segoe UI"/>
          <w:b/>
          <w:sz w:val="24"/>
          <w:szCs w:val="24"/>
        </w:rPr>
        <w:t>я</w:t>
      </w:r>
      <w:r w:rsidRPr="00490485">
        <w:rPr>
          <w:rFonts w:ascii="Segoe UI" w:hAnsi="Segoe UI" w:cs="Segoe UI"/>
          <w:b/>
          <w:sz w:val="24"/>
          <w:szCs w:val="24"/>
        </w:rPr>
        <w:t xml:space="preserve"> 201</w:t>
      </w:r>
      <w:r>
        <w:rPr>
          <w:rFonts w:ascii="Segoe UI" w:hAnsi="Segoe UI" w:cs="Segoe UI"/>
          <w:b/>
          <w:sz w:val="24"/>
          <w:szCs w:val="24"/>
        </w:rPr>
        <w:t>9</w:t>
      </w:r>
      <w:r w:rsidRPr="00490485">
        <w:rPr>
          <w:rFonts w:ascii="Segoe UI" w:hAnsi="Segoe UI" w:cs="Segoe UI"/>
          <w:b/>
          <w:sz w:val="24"/>
          <w:szCs w:val="24"/>
        </w:rPr>
        <w:t xml:space="preserve"> года,</w:t>
      </w:r>
      <w:r w:rsidRPr="00490485">
        <w:rPr>
          <w:rFonts w:ascii="Segoe UI" w:hAnsi="Segoe UI" w:cs="Segoe UI"/>
          <w:sz w:val="24"/>
          <w:szCs w:val="24"/>
        </w:rPr>
        <w:t xml:space="preserve"> –</w:t>
      </w:r>
      <w:r w:rsidR="00F645AC">
        <w:rPr>
          <w:rFonts w:ascii="Segoe UI" w:hAnsi="Segoe UI" w:cs="Segoe UI"/>
          <w:sz w:val="24"/>
          <w:szCs w:val="24"/>
        </w:rPr>
        <w:t xml:space="preserve"> </w:t>
      </w:r>
      <w:r w:rsidR="00D55368">
        <w:rPr>
          <w:rFonts w:ascii="Segoe UI" w:hAnsi="Segoe UI" w:cs="Segoe UI"/>
          <w:sz w:val="24"/>
          <w:szCs w:val="24"/>
        </w:rPr>
        <w:t>Федер</w:t>
      </w:r>
      <w:r w:rsidR="00B862D4">
        <w:rPr>
          <w:rFonts w:ascii="Segoe UI" w:hAnsi="Segoe UI" w:cs="Segoe UI"/>
          <w:sz w:val="24"/>
          <w:szCs w:val="24"/>
        </w:rPr>
        <w:t>а</w:t>
      </w:r>
      <w:r w:rsidR="00D55368">
        <w:rPr>
          <w:rFonts w:ascii="Segoe UI" w:hAnsi="Segoe UI" w:cs="Segoe UI"/>
          <w:sz w:val="24"/>
          <w:szCs w:val="24"/>
        </w:rPr>
        <w:t xml:space="preserve">льная служба государственной регистрации, кадастра и картографии (Росреестр) информирует граждан, что </w:t>
      </w:r>
      <w:r w:rsidR="00B862D4">
        <w:rPr>
          <w:rFonts w:ascii="Segoe UI" w:hAnsi="Segoe UI" w:cs="Segoe UI"/>
          <w:sz w:val="24"/>
          <w:szCs w:val="24"/>
        </w:rPr>
        <w:t xml:space="preserve">с 22 июля 2019 года </w:t>
      </w:r>
      <w:r w:rsidR="00B862D4" w:rsidRPr="00B862D4">
        <w:rPr>
          <w:rFonts w:ascii="Segoe UI" w:hAnsi="Segoe UI" w:cs="Segoe UI"/>
          <w:sz w:val="24"/>
          <w:szCs w:val="24"/>
        </w:rPr>
        <w:t>в личном кабинете ФИС «На Дальний Вост</w:t>
      </w:r>
      <w:r w:rsidR="00B862D4">
        <w:rPr>
          <w:rFonts w:ascii="Segoe UI" w:hAnsi="Segoe UI" w:cs="Segoe UI"/>
          <w:sz w:val="24"/>
          <w:szCs w:val="24"/>
        </w:rPr>
        <w:t>ок» (https://надальнийвосток.рф</w:t>
      </w:r>
      <w:r w:rsidR="00B862D4" w:rsidRPr="00B862D4">
        <w:rPr>
          <w:rFonts w:ascii="Segoe UI" w:hAnsi="Segoe UI" w:cs="Segoe UI"/>
          <w:sz w:val="24"/>
          <w:szCs w:val="24"/>
        </w:rPr>
        <w:t xml:space="preserve">) открыт доступ к карте </w:t>
      </w:r>
      <w:r w:rsidR="00B862D4">
        <w:rPr>
          <w:rFonts w:ascii="Segoe UI" w:hAnsi="Segoe UI" w:cs="Segoe UI"/>
          <w:sz w:val="24"/>
          <w:szCs w:val="24"/>
        </w:rPr>
        <w:t>территорий Республики Бурятия и Забай</w:t>
      </w:r>
      <w:r w:rsidR="003544EE">
        <w:rPr>
          <w:rFonts w:ascii="Segoe UI" w:hAnsi="Segoe UI" w:cs="Segoe UI"/>
          <w:sz w:val="24"/>
          <w:szCs w:val="24"/>
        </w:rPr>
        <w:t xml:space="preserve">кальского края. Таким образом граждане могут предварительно </w:t>
      </w:r>
      <w:r w:rsidR="00675FE8">
        <w:rPr>
          <w:rFonts w:ascii="Segoe UI" w:hAnsi="Segoe UI" w:cs="Segoe UI"/>
          <w:sz w:val="24"/>
          <w:szCs w:val="24"/>
        </w:rPr>
        <w:t>ознакомиться с земл</w:t>
      </w:r>
      <w:r w:rsidR="00AC7C03">
        <w:rPr>
          <w:rFonts w:ascii="Segoe UI" w:hAnsi="Segoe UI" w:cs="Segoe UI"/>
          <w:sz w:val="24"/>
          <w:szCs w:val="24"/>
        </w:rPr>
        <w:t>ями</w:t>
      </w:r>
      <w:r w:rsidR="00675FE8">
        <w:rPr>
          <w:rFonts w:ascii="Segoe UI" w:hAnsi="Segoe UI" w:cs="Segoe UI"/>
          <w:sz w:val="24"/>
          <w:szCs w:val="24"/>
        </w:rPr>
        <w:t>, подлежащими</w:t>
      </w:r>
      <w:r w:rsidR="003544EE">
        <w:rPr>
          <w:rFonts w:ascii="Segoe UI" w:hAnsi="Segoe UI" w:cs="Segoe UI"/>
          <w:sz w:val="24"/>
          <w:szCs w:val="24"/>
        </w:rPr>
        <w:t xml:space="preserve"> предоставлению в рамках программы «На Дальний Восток»</w:t>
      </w:r>
      <w:r w:rsidR="0034343A">
        <w:rPr>
          <w:rFonts w:ascii="Segoe UI" w:hAnsi="Segoe UI" w:cs="Segoe UI"/>
          <w:sz w:val="24"/>
          <w:szCs w:val="24"/>
        </w:rPr>
        <w:t>,</w:t>
      </w:r>
      <w:r w:rsidR="00675FE8">
        <w:rPr>
          <w:rFonts w:ascii="Segoe UI" w:hAnsi="Segoe UI" w:cs="Segoe UI"/>
          <w:sz w:val="24"/>
          <w:szCs w:val="24"/>
        </w:rPr>
        <w:t xml:space="preserve"> </w:t>
      </w:r>
      <w:r w:rsidR="0034343A">
        <w:rPr>
          <w:rFonts w:ascii="Segoe UI" w:hAnsi="Segoe UI" w:cs="Segoe UI"/>
          <w:sz w:val="24"/>
          <w:szCs w:val="24"/>
        </w:rPr>
        <w:t xml:space="preserve">до официального начала программы на территории </w:t>
      </w:r>
      <w:r w:rsidR="00E93ED3">
        <w:rPr>
          <w:rFonts w:ascii="Segoe UI" w:hAnsi="Segoe UI" w:cs="Segoe UI"/>
          <w:sz w:val="24"/>
          <w:szCs w:val="24"/>
        </w:rPr>
        <w:t>этих регионов</w:t>
      </w:r>
      <w:r w:rsidR="0034343A">
        <w:rPr>
          <w:rFonts w:ascii="Segoe UI" w:hAnsi="Segoe UI" w:cs="Segoe UI"/>
          <w:sz w:val="24"/>
          <w:szCs w:val="24"/>
        </w:rPr>
        <w:t xml:space="preserve">. </w:t>
      </w:r>
    </w:p>
    <w:p w14:paraId="6A898943" w14:textId="77777777" w:rsidR="00A90AF0" w:rsidRPr="00A90AF0" w:rsidRDefault="00A90AF0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A90AF0">
        <w:rPr>
          <w:rFonts w:ascii="Segoe UI" w:hAnsi="Segoe UI" w:cs="Segoe UI"/>
          <w:sz w:val="24"/>
          <w:szCs w:val="24"/>
        </w:rPr>
        <w:t>Законодательством установлено, что для жителей вновь вошедших в состав Дальневосточного федерального округа Республики Бурятия и Забайкальского края программа вступает в д</w:t>
      </w:r>
      <w:bookmarkStart w:id="0" w:name="_GoBack"/>
      <w:bookmarkEnd w:id="0"/>
      <w:r w:rsidRPr="00A90AF0">
        <w:rPr>
          <w:rFonts w:ascii="Segoe UI" w:hAnsi="Segoe UI" w:cs="Segoe UI"/>
          <w:sz w:val="24"/>
          <w:szCs w:val="24"/>
        </w:rPr>
        <w:t>ействие с 1 августа 2019 года, для граждан, проживающих на территории ДФО, – с 1 февраля 2020 года. Начиная с 1 августа 2020 года земельный участок в этих регионах будет вправе безвозмездно получить любой гражданин Российской Федерации, а также иностранцы и лица без гражданства, являющиеся участниками госпрограммы по оказанию содействия добровольному переселению в Россию соотечественников, проживающих за рубежом.</w:t>
      </w:r>
    </w:p>
    <w:p w14:paraId="533E9868" w14:textId="7681BF01" w:rsidR="00D55368" w:rsidRPr="00D55368" w:rsidRDefault="00004B71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004B71">
        <w:rPr>
          <w:rFonts w:ascii="Segoe UI" w:hAnsi="Segoe UI" w:cs="Segoe UI"/>
          <w:sz w:val="24"/>
          <w:szCs w:val="24"/>
        </w:rPr>
        <w:t>Информационная система «На Дальний Восток» создана в целях реализации прог</w:t>
      </w:r>
      <w:r w:rsidR="00AB5AB1">
        <w:rPr>
          <w:rFonts w:ascii="Segoe UI" w:hAnsi="Segoe UI" w:cs="Segoe UI"/>
          <w:sz w:val="24"/>
          <w:szCs w:val="24"/>
        </w:rPr>
        <w:t xml:space="preserve">раммы «Дальневосточный гектар». В рамках программы, </w:t>
      </w:r>
      <w:r w:rsidRPr="00004B71">
        <w:rPr>
          <w:rFonts w:ascii="Segoe UI" w:hAnsi="Segoe UI" w:cs="Segoe UI"/>
          <w:sz w:val="24"/>
          <w:szCs w:val="24"/>
        </w:rPr>
        <w:t xml:space="preserve">которая </w:t>
      </w:r>
      <w:r w:rsidR="00AB5AB1">
        <w:rPr>
          <w:rFonts w:ascii="Segoe UI" w:hAnsi="Segoe UI" w:cs="Segoe UI"/>
          <w:sz w:val="24"/>
          <w:szCs w:val="24"/>
        </w:rPr>
        <w:t xml:space="preserve">действует </w:t>
      </w:r>
      <w:r>
        <w:rPr>
          <w:rFonts w:ascii="Segoe UI" w:hAnsi="Segoe UI" w:cs="Segoe UI"/>
          <w:sz w:val="24"/>
          <w:szCs w:val="24"/>
        </w:rPr>
        <w:t>начиная с 2016 года</w:t>
      </w:r>
      <w:r w:rsidR="00AB5AB1">
        <w:rPr>
          <w:rFonts w:ascii="Segoe UI" w:hAnsi="Segoe UI" w:cs="Segoe UI"/>
          <w:sz w:val="24"/>
          <w:szCs w:val="24"/>
        </w:rPr>
        <w:t xml:space="preserve">, каждый гражданин </w:t>
      </w:r>
      <w:r w:rsidRPr="00004B71">
        <w:rPr>
          <w:rFonts w:ascii="Segoe UI" w:hAnsi="Segoe UI" w:cs="Segoe UI"/>
          <w:sz w:val="24"/>
          <w:szCs w:val="24"/>
        </w:rPr>
        <w:t xml:space="preserve">России </w:t>
      </w:r>
      <w:r w:rsidR="00AB5AB1">
        <w:rPr>
          <w:rFonts w:ascii="Segoe UI" w:hAnsi="Segoe UI" w:cs="Segoe UI"/>
          <w:sz w:val="24"/>
          <w:szCs w:val="24"/>
        </w:rPr>
        <w:t xml:space="preserve">имеет право </w:t>
      </w:r>
      <w:r w:rsidRPr="00004B71">
        <w:rPr>
          <w:rFonts w:ascii="Segoe UI" w:hAnsi="Segoe UI" w:cs="Segoe UI"/>
          <w:sz w:val="24"/>
          <w:szCs w:val="24"/>
        </w:rPr>
        <w:t>на бесплатное получение земельного участка площадью до одного гектара на территории Дальневосточного Федера</w:t>
      </w:r>
      <w:r>
        <w:rPr>
          <w:rFonts w:ascii="Segoe UI" w:hAnsi="Segoe UI" w:cs="Segoe UI"/>
          <w:sz w:val="24"/>
          <w:szCs w:val="24"/>
        </w:rPr>
        <w:t xml:space="preserve">льного округа. </w:t>
      </w:r>
      <w:r w:rsidR="008107CA">
        <w:rPr>
          <w:rFonts w:ascii="Segoe UI" w:hAnsi="Segoe UI" w:cs="Segoe UI"/>
          <w:sz w:val="24"/>
          <w:szCs w:val="24"/>
        </w:rPr>
        <w:t>Опыт реализации програ</w:t>
      </w:r>
      <w:r w:rsidR="002B4CBE">
        <w:rPr>
          <w:rFonts w:ascii="Segoe UI" w:hAnsi="Segoe UI" w:cs="Segoe UI"/>
          <w:sz w:val="24"/>
          <w:szCs w:val="24"/>
        </w:rPr>
        <w:t xml:space="preserve">ммы </w:t>
      </w:r>
      <w:r w:rsidR="008107CA">
        <w:rPr>
          <w:rFonts w:ascii="Segoe UI" w:hAnsi="Segoe UI" w:cs="Segoe UI"/>
          <w:sz w:val="24"/>
          <w:szCs w:val="24"/>
        </w:rPr>
        <w:t>показывает, что п</w:t>
      </w:r>
      <w:r w:rsidR="007C4607">
        <w:rPr>
          <w:rFonts w:ascii="Segoe UI" w:hAnsi="Segoe UI" w:cs="Segoe UI"/>
          <w:sz w:val="24"/>
          <w:szCs w:val="24"/>
        </w:rPr>
        <w:t>редоставление возможности</w:t>
      </w:r>
      <w:r w:rsidR="00D55368" w:rsidRPr="00D55368">
        <w:rPr>
          <w:rFonts w:ascii="Segoe UI" w:hAnsi="Segoe UI" w:cs="Segoe UI"/>
          <w:sz w:val="24"/>
          <w:szCs w:val="24"/>
        </w:rPr>
        <w:t xml:space="preserve"> </w:t>
      </w:r>
      <w:r w:rsidR="007C4607">
        <w:rPr>
          <w:rFonts w:ascii="Segoe UI" w:hAnsi="Segoe UI" w:cs="Segoe UI"/>
          <w:sz w:val="24"/>
          <w:szCs w:val="24"/>
        </w:rPr>
        <w:t>для граждан, заинтересованных в получении «д</w:t>
      </w:r>
      <w:r w:rsidR="007C4607" w:rsidRPr="007C4607">
        <w:rPr>
          <w:rFonts w:ascii="Segoe UI" w:hAnsi="Segoe UI" w:cs="Segoe UI"/>
          <w:sz w:val="24"/>
          <w:szCs w:val="24"/>
        </w:rPr>
        <w:t xml:space="preserve">альневосточного гектара», </w:t>
      </w:r>
      <w:r w:rsidR="00D55368" w:rsidRPr="00D55368">
        <w:rPr>
          <w:rFonts w:ascii="Segoe UI" w:hAnsi="Segoe UI" w:cs="Segoe UI"/>
          <w:sz w:val="24"/>
          <w:szCs w:val="24"/>
        </w:rPr>
        <w:t xml:space="preserve">заранее подобрать территорию для </w:t>
      </w:r>
      <w:r w:rsidR="00675FE8">
        <w:rPr>
          <w:rFonts w:ascii="Segoe UI" w:hAnsi="Segoe UI" w:cs="Segoe UI"/>
          <w:sz w:val="24"/>
          <w:szCs w:val="24"/>
        </w:rPr>
        <w:t>формирования</w:t>
      </w:r>
      <w:r w:rsidR="00D55368" w:rsidRPr="00D55368">
        <w:rPr>
          <w:rFonts w:ascii="Segoe UI" w:hAnsi="Segoe UI" w:cs="Segoe UI"/>
          <w:sz w:val="24"/>
          <w:szCs w:val="24"/>
        </w:rPr>
        <w:t xml:space="preserve"> земельного участка, а также ознакомиться </w:t>
      </w:r>
      <w:r w:rsidR="00675FE8">
        <w:rPr>
          <w:rFonts w:ascii="Segoe UI" w:hAnsi="Segoe UI" w:cs="Segoe UI"/>
          <w:sz w:val="24"/>
          <w:szCs w:val="24"/>
        </w:rPr>
        <w:t xml:space="preserve">на практике </w:t>
      </w:r>
      <w:r w:rsidR="00D55368" w:rsidRPr="00D55368">
        <w:rPr>
          <w:rFonts w:ascii="Segoe UI" w:hAnsi="Segoe UI" w:cs="Segoe UI"/>
          <w:sz w:val="24"/>
          <w:szCs w:val="24"/>
        </w:rPr>
        <w:t>с</w:t>
      </w:r>
      <w:r w:rsidR="00C36AFD">
        <w:rPr>
          <w:rFonts w:ascii="Segoe UI" w:hAnsi="Segoe UI" w:cs="Segoe UI"/>
          <w:sz w:val="24"/>
          <w:szCs w:val="24"/>
        </w:rPr>
        <w:t xml:space="preserve"> функциональными возможностями с</w:t>
      </w:r>
      <w:r w:rsidR="00D55368" w:rsidRPr="00D55368">
        <w:rPr>
          <w:rFonts w:ascii="Segoe UI" w:hAnsi="Segoe UI" w:cs="Segoe UI"/>
          <w:sz w:val="24"/>
          <w:szCs w:val="24"/>
        </w:rPr>
        <w:t xml:space="preserve">истемы по созданию границ земельного участка, </w:t>
      </w:r>
      <w:r w:rsidR="00C36AFD">
        <w:rPr>
          <w:rFonts w:ascii="Segoe UI" w:hAnsi="Segoe UI" w:cs="Segoe UI"/>
          <w:sz w:val="24"/>
          <w:szCs w:val="24"/>
        </w:rPr>
        <w:t>позвол</w:t>
      </w:r>
      <w:r>
        <w:rPr>
          <w:rFonts w:ascii="Segoe UI" w:hAnsi="Segoe UI" w:cs="Segoe UI"/>
          <w:sz w:val="24"/>
          <w:szCs w:val="24"/>
        </w:rPr>
        <w:t>яет</w:t>
      </w:r>
      <w:r w:rsidR="00C36AFD">
        <w:rPr>
          <w:rFonts w:ascii="Segoe UI" w:hAnsi="Segoe UI" w:cs="Segoe UI"/>
          <w:sz w:val="24"/>
          <w:szCs w:val="24"/>
        </w:rPr>
        <w:t xml:space="preserve"> ускорить процедуру формирования </w:t>
      </w:r>
      <w:r w:rsidR="007C4607">
        <w:rPr>
          <w:rFonts w:ascii="Segoe UI" w:hAnsi="Segoe UI" w:cs="Segoe UI"/>
          <w:sz w:val="24"/>
          <w:szCs w:val="24"/>
        </w:rPr>
        <w:t>земельного участка и подачи</w:t>
      </w:r>
      <w:r w:rsidR="00D55368" w:rsidRPr="00D55368">
        <w:rPr>
          <w:rFonts w:ascii="Segoe UI" w:hAnsi="Segoe UI" w:cs="Segoe UI"/>
          <w:sz w:val="24"/>
          <w:szCs w:val="24"/>
        </w:rPr>
        <w:t xml:space="preserve"> заявления на рассмотрение в уполномоченный орган.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2369ACA4" w14:textId="77777777" w:rsidR="00D55368" w:rsidRPr="00D55368" w:rsidRDefault="00D55368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D55368">
        <w:rPr>
          <w:rFonts w:ascii="Segoe UI" w:hAnsi="Segoe UI" w:cs="Segoe UI"/>
          <w:sz w:val="24"/>
          <w:szCs w:val="24"/>
        </w:rPr>
        <w:t xml:space="preserve">Для доступа в личный кабинет необходимо предварительно пройти регистрацию в Единой системе идентификации и аутентификации (ЕСИА) на Едином портале государственных и муниципальных услуг (https://www.gosuslugi.ru/) и получить подтвержденную учетную запись. Оператором данного портала и ЕСИА является </w:t>
      </w:r>
      <w:r w:rsidRPr="00D55368">
        <w:rPr>
          <w:rFonts w:ascii="Segoe UI" w:hAnsi="Segoe UI" w:cs="Segoe UI"/>
          <w:sz w:val="24"/>
          <w:szCs w:val="24"/>
        </w:rPr>
        <w:lastRenderedPageBreak/>
        <w:t>Минкомсвязь России. На сайте данного ведомства размещены руководство пользователя ЕСИА (http://minsvyaz.ru/uploaded/presentations/rpesia-29.pdf) и контактные телефоны службы технической поддержки.</w:t>
      </w:r>
    </w:p>
    <w:p w14:paraId="2810E7C5" w14:textId="7EC2750E" w:rsidR="00C36AFD" w:rsidRDefault="00675FE8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Росреестр обращает</w:t>
      </w:r>
      <w:r w:rsidR="00D55368" w:rsidRPr="00D55368">
        <w:rPr>
          <w:rFonts w:ascii="Segoe UI" w:hAnsi="Segoe UI" w:cs="Segoe UI"/>
          <w:sz w:val="24"/>
          <w:szCs w:val="24"/>
        </w:rPr>
        <w:t xml:space="preserve"> внимание, что </w:t>
      </w:r>
      <w:r>
        <w:rPr>
          <w:rFonts w:ascii="Segoe UI" w:hAnsi="Segoe UI" w:cs="Segoe UI"/>
          <w:sz w:val="24"/>
          <w:szCs w:val="24"/>
        </w:rPr>
        <w:t xml:space="preserve">до 1 </w:t>
      </w:r>
      <w:r w:rsidR="000A7828">
        <w:rPr>
          <w:rFonts w:ascii="Segoe UI" w:hAnsi="Segoe UI" w:cs="Segoe UI"/>
          <w:sz w:val="24"/>
          <w:szCs w:val="24"/>
        </w:rPr>
        <w:t xml:space="preserve">августа </w:t>
      </w:r>
      <w:r>
        <w:rPr>
          <w:rFonts w:ascii="Segoe UI" w:hAnsi="Segoe UI" w:cs="Segoe UI"/>
          <w:sz w:val="24"/>
          <w:szCs w:val="24"/>
        </w:rPr>
        <w:t xml:space="preserve">2019 года </w:t>
      </w:r>
      <w:r w:rsidR="00D55368" w:rsidRPr="00D55368">
        <w:rPr>
          <w:rFonts w:ascii="Segoe UI" w:hAnsi="Segoe UI" w:cs="Segoe UI"/>
          <w:sz w:val="24"/>
          <w:szCs w:val="24"/>
        </w:rPr>
        <w:t>для земельных участков</w:t>
      </w:r>
      <w:r w:rsidR="00D55368">
        <w:rPr>
          <w:rFonts w:ascii="Segoe UI" w:hAnsi="Segoe UI" w:cs="Segoe UI"/>
          <w:sz w:val="24"/>
          <w:szCs w:val="24"/>
        </w:rPr>
        <w:t>,</w:t>
      </w:r>
      <w:r w:rsidR="00D55368" w:rsidRPr="00D55368">
        <w:rPr>
          <w:rFonts w:ascii="Segoe UI" w:hAnsi="Segoe UI" w:cs="Segoe UI"/>
          <w:sz w:val="24"/>
          <w:szCs w:val="24"/>
        </w:rPr>
        <w:t xml:space="preserve"> сформированных на территориях Республики Бурятия и Забайкальского края</w:t>
      </w:r>
      <w:r>
        <w:rPr>
          <w:rFonts w:ascii="Segoe UI" w:hAnsi="Segoe UI" w:cs="Segoe UI"/>
          <w:sz w:val="24"/>
          <w:szCs w:val="24"/>
        </w:rPr>
        <w:t xml:space="preserve">, </w:t>
      </w:r>
      <w:r w:rsidR="00D55368" w:rsidRPr="00D55368">
        <w:rPr>
          <w:rFonts w:ascii="Segoe UI" w:hAnsi="Segoe UI" w:cs="Segoe UI"/>
          <w:sz w:val="24"/>
          <w:szCs w:val="24"/>
        </w:rPr>
        <w:t>в ФИС «На Дальний Восток» после выполнения автоматических проверок при нажатии кнопки «Перейти в личный кабинет для подачи заявлени</w:t>
      </w:r>
      <w:r>
        <w:rPr>
          <w:rFonts w:ascii="Segoe UI" w:hAnsi="Segoe UI" w:cs="Segoe UI"/>
          <w:sz w:val="24"/>
          <w:szCs w:val="24"/>
        </w:rPr>
        <w:t xml:space="preserve">я» </w:t>
      </w:r>
      <w:r w:rsidR="00C36AFD">
        <w:rPr>
          <w:rFonts w:ascii="Segoe UI" w:hAnsi="Segoe UI" w:cs="Segoe UI"/>
          <w:sz w:val="24"/>
          <w:szCs w:val="24"/>
        </w:rPr>
        <w:t>будет выводиться сообщение:</w:t>
      </w:r>
    </w:p>
    <w:p w14:paraId="2B984264" w14:textId="77777777" w:rsidR="00D55368" w:rsidRPr="00813875" w:rsidRDefault="00C36AFD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813875">
        <w:rPr>
          <w:rFonts w:ascii="Segoe UI" w:hAnsi="Segoe UI" w:cs="Segoe UI"/>
          <w:sz w:val="24"/>
          <w:szCs w:val="24"/>
        </w:rPr>
        <w:t xml:space="preserve">- </w:t>
      </w:r>
      <w:r w:rsidR="00D55368" w:rsidRPr="00813875">
        <w:rPr>
          <w:rFonts w:ascii="Segoe UI" w:hAnsi="Segoe UI" w:cs="Segoe UI"/>
          <w:sz w:val="24"/>
          <w:szCs w:val="24"/>
        </w:rPr>
        <w:t>для Забайкальского Края:</w:t>
      </w:r>
    </w:p>
    <w:p w14:paraId="0B37B74B" w14:textId="77777777" w:rsidR="00C36AFD" w:rsidRDefault="00D55368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D55368">
        <w:rPr>
          <w:rFonts w:ascii="Segoe UI" w:hAnsi="Segoe UI" w:cs="Segoe UI"/>
          <w:sz w:val="24"/>
          <w:szCs w:val="24"/>
        </w:rPr>
        <w:t>«Начало подачи заявлений о предоставлении земельных участков на территории Забайкальского Края: 1 августа 2019,</w:t>
      </w:r>
      <w:r w:rsidR="00C36AFD">
        <w:rPr>
          <w:rFonts w:ascii="Segoe UI" w:hAnsi="Segoe UI" w:cs="Segoe UI"/>
          <w:sz w:val="24"/>
          <w:szCs w:val="24"/>
        </w:rPr>
        <w:t xml:space="preserve"> 00:00 (МСК +6)»;</w:t>
      </w:r>
    </w:p>
    <w:p w14:paraId="737F7E3A" w14:textId="77777777" w:rsidR="00D55368" w:rsidRPr="00813875" w:rsidRDefault="00C36AFD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813875">
        <w:rPr>
          <w:rFonts w:ascii="Segoe UI" w:hAnsi="Segoe UI" w:cs="Segoe UI"/>
          <w:sz w:val="24"/>
          <w:szCs w:val="24"/>
        </w:rPr>
        <w:t xml:space="preserve">- </w:t>
      </w:r>
      <w:r w:rsidR="00D55368" w:rsidRPr="00813875">
        <w:rPr>
          <w:rFonts w:ascii="Segoe UI" w:hAnsi="Segoe UI" w:cs="Segoe UI"/>
          <w:sz w:val="24"/>
          <w:szCs w:val="24"/>
        </w:rPr>
        <w:t>для Республики Бурятия:</w:t>
      </w:r>
    </w:p>
    <w:p w14:paraId="7D1A69EF" w14:textId="77777777" w:rsidR="00D55368" w:rsidRDefault="00D55368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D55368">
        <w:rPr>
          <w:rFonts w:ascii="Segoe UI" w:hAnsi="Segoe UI" w:cs="Segoe UI"/>
          <w:sz w:val="24"/>
          <w:szCs w:val="24"/>
        </w:rPr>
        <w:t>«Начало подачи заявлений о предоставлении земельных участков на территории Бурятии: 1 августа 2019, 00:00 (МСК +5)».</w:t>
      </w:r>
    </w:p>
    <w:p w14:paraId="612E8705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8C5612">
        <w:rPr>
          <w:noProof/>
          <w:lang w:eastAsia="ru-RU"/>
        </w:rPr>
        <mc:AlternateContent>
          <mc:Choice Requires="wps">
            <w:drawing>
              <wp:inline distT="0" distB="0" distL="0" distR="0" wp14:anchorId="47E13148" wp14:editId="252C6F93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4120C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14:paraId="50FEA9C0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54C309E8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8C5612"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14:paraId="595FFD58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C5612"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14:paraId="528700AB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C5612">
        <w:rPr>
          <w:rFonts w:ascii="Segoe UI" w:hAnsi="Segoe UI" w:cs="Segoe UI"/>
          <w:color w:val="000000"/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14:paraId="203188F3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75F8A2D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8C5612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14:paraId="1744A728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C5612">
        <w:rPr>
          <w:rFonts w:ascii="Segoe UI" w:hAnsi="Segoe UI" w:cs="Segoe UI"/>
          <w:color w:val="000000"/>
          <w:sz w:val="20"/>
          <w:szCs w:val="20"/>
        </w:rPr>
        <w:t>Пресс-служба Росреестра</w:t>
      </w:r>
    </w:p>
    <w:p w14:paraId="3FCD75F5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C5612">
        <w:rPr>
          <w:rFonts w:ascii="Segoe UI" w:hAnsi="Segoe UI" w:cs="Segoe UI"/>
          <w:color w:val="000000"/>
          <w:sz w:val="20"/>
          <w:szCs w:val="20"/>
        </w:rPr>
        <w:t>+7 495 983 40 27</w:t>
      </w:r>
    </w:p>
    <w:p w14:paraId="48331C55" w14:textId="77777777" w:rsidR="008C5612" w:rsidRPr="008C5612" w:rsidRDefault="00A90AF0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8C5612" w:rsidRPr="008C5612">
          <w:rPr>
            <w:rFonts w:ascii="Segoe UI" w:hAnsi="Segoe UI" w:cs="Segoe UI"/>
            <w:color w:val="0000FF"/>
            <w:sz w:val="20"/>
            <w:szCs w:val="20"/>
            <w:u w:val="single"/>
          </w:rPr>
          <w:t>press@rosreestr.ru</w:t>
        </w:r>
      </w:hyperlink>
    </w:p>
    <w:p w14:paraId="6BD2CB08" w14:textId="77777777" w:rsidR="008C5612" w:rsidRPr="008C5612" w:rsidRDefault="00A90AF0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8C5612" w:rsidRPr="008C5612">
          <w:rPr>
            <w:rFonts w:ascii="Segoe UI" w:hAnsi="Segoe UI" w:cs="Segoe UI"/>
            <w:color w:val="0000FF"/>
            <w:sz w:val="20"/>
            <w:szCs w:val="20"/>
            <w:u w:val="single"/>
          </w:rPr>
          <w:t>www.rosreestr.ru</w:t>
        </w:r>
      </w:hyperlink>
    </w:p>
    <w:p w14:paraId="10C3F02A" w14:textId="77777777" w:rsidR="008C5612" w:rsidRPr="008C5612" w:rsidRDefault="008C5612" w:rsidP="008C561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C5612">
        <w:rPr>
          <w:rFonts w:ascii="Segoe UI" w:hAnsi="Segoe UI" w:cs="Segoe UI"/>
          <w:color w:val="000000"/>
          <w:sz w:val="20"/>
          <w:szCs w:val="20"/>
        </w:rPr>
        <w:t>101000, Москва, Чистопрудный бульвар, д. 6/19</w:t>
      </w:r>
    </w:p>
    <w:p w14:paraId="795EE131" w14:textId="2FAD7408" w:rsidR="00C36AFD" w:rsidRDefault="00C36AFD" w:rsidP="00D55368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36AFD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C"/>
    <w:rsid w:val="000025F0"/>
    <w:rsid w:val="00004B71"/>
    <w:rsid w:val="000425E2"/>
    <w:rsid w:val="000460F3"/>
    <w:rsid w:val="000862D9"/>
    <w:rsid w:val="000903DF"/>
    <w:rsid w:val="000A7828"/>
    <w:rsid w:val="000C6DFE"/>
    <w:rsid w:val="000F0A8D"/>
    <w:rsid w:val="000F43BA"/>
    <w:rsid w:val="00112B11"/>
    <w:rsid w:val="00120F53"/>
    <w:rsid w:val="001C7CD1"/>
    <w:rsid w:val="00212CF0"/>
    <w:rsid w:val="0022015A"/>
    <w:rsid w:val="00220CE2"/>
    <w:rsid w:val="00234D50"/>
    <w:rsid w:val="002A3443"/>
    <w:rsid w:val="002B4CBE"/>
    <w:rsid w:val="002C1EA2"/>
    <w:rsid w:val="003113A7"/>
    <w:rsid w:val="00311CFF"/>
    <w:rsid w:val="0034343A"/>
    <w:rsid w:val="003544EE"/>
    <w:rsid w:val="00356796"/>
    <w:rsid w:val="0037629C"/>
    <w:rsid w:val="003B45ED"/>
    <w:rsid w:val="003D7BF2"/>
    <w:rsid w:val="004058F7"/>
    <w:rsid w:val="00440E98"/>
    <w:rsid w:val="00441771"/>
    <w:rsid w:val="00441C7A"/>
    <w:rsid w:val="00533AC9"/>
    <w:rsid w:val="00547DEF"/>
    <w:rsid w:val="005603A5"/>
    <w:rsid w:val="005B2661"/>
    <w:rsid w:val="005B5599"/>
    <w:rsid w:val="005C31E2"/>
    <w:rsid w:val="00627963"/>
    <w:rsid w:val="00650326"/>
    <w:rsid w:val="00675CA3"/>
    <w:rsid w:val="00675FE8"/>
    <w:rsid w:val="00691FB6"/>
    <w:rsid w:val="00692472"/>
    <w:rsid w:val="00695E37"/>
    <w:rsid w:val="007215CE"/>
    <w:rsid w:val="0078195D"/>
    <w:rsid w:val="007A32A1"/>
    <w:rsid w:val="007A52FF"/>
    <w:rsid w:val="007B0BFB"/>
    <w:rsid w:val="007C4607"/>
    <w:rsid w:val="007D402C"/>
    <w:rsid w:val="00804ABB"/>
    <w:rsid w:val="008107CA"/>
    <w:rsid w:val="00813875"/>
    <w:rsid w:val="00835710"/>
    <w:rsid w:val="00835859"/>
    <w:rsid w:val="008606AB"/>
    <w:rsid w:val="00870BD8"/>
    <w:rsid w:val="008B4B04"/>
    <w:rsid w:val="008C5612"/>
    <w:rsid w:val="008D348F"/>
    <w:rsid w:val="009161D7"/>
    <w:rsid w:val="00917694"/>
    <w:rsid w:val="00917830"/>
    <w:rsid w:val="009521A5"/>
    <w:rsid w:val="00A42EC5"/>
    <w:rsid w:val="00A56C1F"/>
    <w:rsid w:val="00A76A98"/>
    <w:rsid w:val="00A90AF0"/>
    <w:rsid w:val="00AA69D3"/>
    <w:rsid w:val="00AB5AB1"/>
    <w:rsid w:val="00AC398E"/>
    <w:rsid w:val="00AC7C03"/>
    <w:rsid w:val="00AD0538"/>
    <w:rsid w:val="00AD4BFF"/>
    <w:rsid w:val="00AF485E"/>
    <w:rsid w:val="00B41B3A"/>
    <w:rsid w:val="00B45F82"/>
    <w:rsid w:val="00B65A48"/>
    <w:rsid w:val="00B70BEC"/>
    <w:rsid w:val="00B71446"/>
    <w:rsid w:val="00B862D4"/>
    <w:rsid w:val="00BC7A73"/>
    <w:rsid w:val="00C019C1"/>
    <w:rsid w:val="00C2410F"/>
    <w:rsid w:val="00C36AFD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55368"/>
    <w:rsid w:val="00D66F85"/>
    <w:rsid w:val="00D6754B"/>
    <w:rsid w:val="00DA0891"/>
    <w:rsid w:val="00DC4458"/>
    <w:rsid w:val="00DD0DB3"/>
    <w:rsid w:val="00DF5E5D"/>
    <w:rsid w:val="00E46C9C"/>
    <w:rsid w:val="00E93ED3"/>
    <w:rsid w:val="00ED0911"/>
    <w:rsid w:val="00ED16A1"/>
    <w:rsid w:val="00F049A0"/>
    <w:rsid w:val="00F47FF7"/>
    <w:rsid w:val="00F54203"/>
    <w:rsid w:val="00F645AC"/>
    <w:rsid w:val="00F76013"/>
    <w:rsid w:val="00F86EC8"/>
    <w:rsid w:val="00FC601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6E09"/>
  <w15:docId w15:val="{07DBEF09-1544-44B0-B173-C5F66CC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78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78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783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78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7830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0C6DF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Ксенофонтова Светлана Николаевна</cp:lastModifiedBy>
  <cp:revision>2</cp:revision>
  <cp:lastPrinted>2019-06-25T13:28:00Z</cp:lastPrinted>
  <dcterms:created xsi:type="dcterms:W3CDTF">2019-07-24T15:25:00Z</dcterms:created>
  <dcterms:modified xsi:type="dcterms:W3CDTF">2019-07-24T15:25:00Z</dcterms:modified>
</cp:coreProperties>
</file>